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BDC54" w14:textId="77777777" w:rsidR="002B4C41" w:rsidRDefault="002B4C41" w:rsidP="002B4C41">
      <w:pPr>
        <w:ind w:right="-755"/>
        <w:jc w:val="both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</w:p>
    <w:p w14:paraId="4623157E" w14:textId="4B666BC1" w:rsidR="00F00A6A" w:rsidRDefault="00211C3B" w:rsidP="002B4C41">
      <w:pPr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r w:rsidRPr="00211C3B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Mental health and wellbeing resources [category ‘</w:t>
      </w:r>
      <w:r w:rsidR="00410A9F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Protect</w:t>
      </w:r>
      <w:r w:rsidRPr="00211C3B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]</w:t>
      </w:r>
    </w:p>
    <w:p w14:paraId="1A5C21BC" w14:textId="77777777" w:rsidR="00300C8C" w:rsidRDefault="00300C8C" w:rsidP="00300C8C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r w:rsidRPr="00410A9F">
        <w:rPr>
          <w:rFonts w:ascii="Calibri" w:eastAsia="+mn-ea" w:hAnsi="Calibri" w:cs="+mn-cs"/>
          <w:color w:val="00284C"/>
          <w:sz w:val="24"/>
          <w:szCs w:val="40"/>
          <w:lang w:eastAsia="en-GB"/>
        </w:rPr>
        <w:t>Good practice guidance for policies, systems and structures that protect positive mental health and wellbeing onboard.</w:t>
      </w:r>
    </w:p>
    <w:p w14:paraId="4CED168E" w14:textId="2DE99DFF" w:rsidR="00F00A6A" w:rsidRDefault="00F00A6A" w:rsidP="002B4C41">
      <w:pPr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</w:p>
    <w:p w14:paraId="765EFF79" w14:textId="48B75905" w:rsidR="00300C8C" w:rsidRDefault="00300C8C" w:rsidP="002B4C41">
      <w:pPr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r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 xml:space="preserve">Policy &amp; Guidance </w:t>
      </w:r>
    </w:p>
    <w:p w14:paraId="21B9DCB9" w14:textId="77777777" w:rsidR="00A03B55" w:rsidRPr="00A03B55" w:rsidRDefault="00A03B55" w:rsidP="00A03B55">
      <w:pPr>
        <w:rPr>
          <w:b/>
          <w:bCs/>
          <w:u w:val="single"/>
        </w:rPr>
      </w:pPr>
      <w:hyperlink r:id="rId11" w:history="1">
        <w:r w:rsidRPr="00A03B55">
          <w:rPr>
            <w:rStyle w:val="Hyperlink"/>
            <w:b/>
            <w:bCs/>
          </w:rPr>
          <w:t>Mentally healthy ships: policy and practice to promote mental health on board</w:t>
        </w:r>
      </w:hyperlink>
      <w:r w:rsidRPr="00A03B55">
        <w:rPr>
          <w:b/>
          <w:bCs/>
          <w:u w:val="single"/>
        </w:rPr>
        <w:t xml:space="preserve"> </w:t>
      </w:r>
    </w:p>
    <w:p w14:paraId="16875812" w14:textId="05AC94D6" w:rsidR="00532213" w:rsidRDefault="00E75C2F" w:rsidP="00397930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r w:rsidRPr="00E75C2F">
        <w:rPr>
          <w:rFonts w:ascii="Calibri" w:eastAsia="+mn-ea" w:hAnsi="Calibri" w:cs="+mn-cs"/>
          <w:color w:val="00284C"/>
          <w:sz w:val="24"/>
          <w:szCs w:val="40"/>
          <w:lang w:eastAsia="en-GB"/>
        </w:rPr>
        <w:t>Useful information for companies &amp; operators on how best to devise and implement mental health policies and practices that promote and protect positive mental health shore-side and on-board.</w:t>
      </w:r>
    </w:p>
    <w:p w14:paraId="68FEFF27" w14:textId="77777777" w:rsidR="003C49AC" w:rsidRDefault="003C49AC" w:rsidP="005C0DDB">
      <w:pPr>
        <w:spacing w:before="120" w:after="120"/>
      </w:pPr>
    </w:p>
    <w:p w14:paraId="36D0EDB4" w14:textId="48D686D2" w:rsidR="005C0DDB" w:rsidRPr="005C0DDB" w:rsidRDefault="005C0DDB" w:rsidP="005C0DDB">
      <w:pPr>
        <w:spacing w:before="120" w:after="120"/>
        <w:rPr>
          <w:b/>
          <w:bCs/>
        </w:rPr>
      </w:pPr>
      <w:hyperlink r:id="rId12" w:history="1">
        <w:r w:rsidRPr="005C0DDB">
          <w:rPr>
            <w:rStyle w:val="Hyperlink"/>
            <w:b/>
            <w:bCs/>
          </w:rPr>
          <w:t>Guidelines to shipping companies on mental health awareness</w:t>
        </w:r>
      </w:hyperlink>
      <w:r w:rsidRPr="005C0DDB">
        <w:rPr>
          <w:b/>
          <w:bCs/>
        </w:rPr>
        <w:t xml:space="preserve"> </w:t>
      </w:r>
    </w:p>
    <w:p w14:paraId="2B483DEF" w14:textId="5DC592A6" w:rsidR="00397930" w:rsidRDefault="003C49AC" w:rsidP="00397930">
      <w:pPr>
        <w:spacing w:before="120" w:after="120"/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r w:rsidRPr="003C49AC">
        <w:rPr>
          <w:rFonts w:ascii="Calibri" w:eastAsia="+mn-ea" w:hAnsi="Calibri" w:cs="+mn-cs"/>
          <w:color w:val="00284C"/>
          <w:sz w:val="24"/>
          <w:szCs w:val="40"/>
          <w:lang w:eastAsia="en-GB"/>
        </w:rPr>
        <w:t>Information on establishing clear policies that help set a positive company culture, promote awareness of the importance of good health and wellbeing, and provide clarity to employees on the support available.</w:t>
      </w:r>
    </w:p>
    <w:p w14:paraId="7F97E329" w14:textId="736D2F89" w:rsidR="003C49AC" w:rsidRDefault="003C49AC" w:rsidP="00397930">
      <w:pPr>
        <w:spacing w:before="120" w:after="120"/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</w:p>
    <w:p w14:paraId="1A1D44E8" w14:textId="77777777" w:rsidR="00A32075" w:rsidRPr="00A32075" w:rsidRDefault="00A32075" w:rsidP="00A32075">
      <w:pPr>
        <w:spacing w:before="120" w:after="120"/>
        <w:rPr>
          <w:rFonts w:ascii="Calibri" w:eastAsia="+mn-ea" w:hAnsi="Calibri" w:cs="+mn-cs"/>
          <w:b/>
          <w:bCs/>
          <w:color w:val="00284C"/>
          <w:sz w:val="24"/>
          <w:szCs w:val="40"/>
          <w:lang w:eastAsia="en-GB"/>
        </w:rPr>
      </w:pPr>
      <w:hyperlink r:id="rId13" w:history="1">
        <w:r w:rsidRPr="00A32075">
          <w:rPr>
            <w:rStyle w:val="Hyperlink"/>
            <w:rFonts w:ascii="Calibri" w:eastAsia="+mn-ea" w:hAnsi="Calibri" w:cs="+mn-cs"/>
            <w:b/>
            <w:bCs/>
            <w:sz w:val="24"/>
            <w:szCs w:val="40"/>
            <w:lang w:eastAsia="en-GB"/>
          </w:rPr>
          <w:t>Practical guidance for shipping companies on improving mental wellbeing</w:t>
        </w:r>
      </w:hyperlink>
    </w:p>
    <w:p w14:paraId="3EC59846" w14:textId="2ACB1C6E" w:rsidR="00A32075" w:rsidRDefault="00C800B7" w:rsidP="00397930">
      <w:pPr>
        <w:spacing w:before="120" w:after="120"/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r w:rsidRPr="00C800B7">
        <w:rPr>
          <w:rFonts w:ascii="Calibri" w:eastAsia="+mn-ea" w:hAnsi="Calibri" w:cs="+mn-cs"/>
          <w:color w:val="00284C"/>
          <w:sz w:val="24"/>
          <w:szCs w:val="40"/>
          <w:lang w:eastAsia="en-GB"/>
        </w:rPr>
        <w:t>Practical policy guidelines for companies &amp; operators to promote mental wellbeing for seafarers, which can also be applied to shore personnel.</w:t>
      </w:r>
    </w:p>
    <w:p w14:paraId="4D0E78BC" w14:textId="3F3A96CB" w:rsidR="00C800B7" w:rsidRDefault="00C800B7" w:rsidP="00397930">
      <w:pPr>
        <w:spacing w:before="120" w:after="120"/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</w:p>
    <w:p w14:paraId="19FBE023" w14:textId="77777777" w:rsidR="00300C8C" w:rsidRPr="00300C8C" w:rsidRDefault="00300C8C" w:rsidP="00300C8C">
      <w:pPr>
        <w:spacing w:before="120" w:after="120"/>
        <w:rPr>
          <w:rFonts w:ascii="Calibri" w:eastAsia="+mn-ea" w:hAnsi="Calibri" w:cs="+mn-cs"/>
          <w:b/>
          <w:bCs/>
          <w:color w:val="00284C"/>
          <w:sz w:val="24"/>
          <w:szCs w:val="40"/>
          <w:lang w:eastAsia="en-GB"/>
        </w:rPr>
      </w:pPr>
      <w:hyperlink r:id="rId14" w:history="1">
        <w:r w:rsidRPr="00300C8C">
          <w:rPr>
            <w:rStyle w:val="Hyperlink"/>
            <w:rFonts w:ascii="Calibri" w:eastAsia="+mn-ea" w:hAnsi="Calibri" w:cs="+mn-cs"/>
            <w:b/>
            <w:bCs/>
            <w:sz w:val="24"/>
            <w:szCs w:val="40"/>
            <w:lang w:eastAsia="en-GB"/>
          </w:rPr>
          <w:t>Wellbeing at sea: a guide for organisations</w:t>
        </w:r>
      </w:hyperlink>
    </w:p>
    <w:p w14:paraId="45B7C310" w14:textId="36CF8763" w:rsidR="00C800B7" w:rsidRDefault="005C4ED2" w:rsidP="00397930">
      <w:pPr>
        <w:spacing w:before="120" w:after="120"/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r w:rsidRPr="005C4ED2">
        <w:rPr>
          <w:rFonts w:ascii="Calibri" w:eastAsia="+mn-ea" w:hAnsi="Calibri" w:cs="+mn-cs"/>
          <w:color w:val="00284C"/>
          <w:sz w:val="24"/>
          <w:szCs w:val="40"/>
          <w:lang w:eastAsia="en-GB"/>
        </w:rPr>
        <w:t>Practical policy guidance for shore &amp; onboard management for optimal care of seafarers, which ultimately improves seafarer wellbeing and business efficiency onboard vessels.</w:t>
      </w:r>
      <w:r w:rsidR="006B67BE"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 </w:t>
      </w:r>
      <w:r w:rsidR="006B67BE" w:rsidRPr="006B67BE">
        <w:rPr>
          <w:rFonts w:ascii="Calibri" w:eastAsia="+mn-ea" w:hAnsi="Calibri" w:cs="+mn-cs"/>
          <w:color w:val="00284C"/>
          <w:sz w:val="24"/>
          <w:szCs w:val="40"/>
          <w:lang w:eastAsia="en-GB"/>
        </w:rPr>
        <w:t>Available to purchase from The Stationary Office.</w:t>
      </w:r>
    </w:p>
    <w:p w14:paraId="76471DA8" w14:textId="77777777" w:rsidR="003C49AC" w:rsidRPr="00377703" w:rsidRDefault="003C49AC" w:rsidP="00397930">
      <w:pPr>
        <w:spacing w:before="120" w:after="120"/>
        <w:rPr>
          <w:rFonts w:ascii="Calibri" w:eastAsia="+mn-ea" w:hAnsi="Calibri" w:cs="+mn-cs"/>
          <w:b/>
          <w:bCs/>
          <w:color w:val="00284C"/>
          <w:sz w:val="24"/>
          <w:szCs w:val="40"/>
          <w:lang w:eastAsia="en-GB"/>
        </w:rPr>
      </w:pPr>
    </w:p>
    <w:p w14:paraId="3A557752" w14:textId="2E6B2E9F" w:rsidR="005523A7" w:rsidRPr="00011D69" w:rsidRDefault="00011D69" w:rsidP="001826A2">
      <w:pPr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r w:rsidRPr="00011D69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Bullying &amp; Harassment</w:t>
      </w:r>
    </w:p>
    <w:p w14:paraId="7BE425E4" w14:textId="77777777" w:rsidR="00233934" w:rsidRPr="00233934" w:rsidRDefault="00233934" w:rsidP="00233934">
      <w:pPr>
        <w:rPr>
          <w:rStyle w:val="Hyperlink"/>
          <w:rFonts w:ascii="Calibri" w:eastAsia="+mn-ea" w:hAnsi="Calibri" w:cs="+mn-cs"/>
          <w:b/>
          <w:bCs/>
          <w:sz w:val="24"/>
          <w:szCs w:val="40"/>
          <w:lang w:eastAsia="en-GB"/>
        </w:rPr>
      </w:pPr>
      <w:r w:rsidRPr="00233934">
        <w:rPr>
          <w:rFonts w:ascii="Calibri" w:eastAsia="+mn-ea" w:hAnsi="Calibri" w:cs="+mn-cs"/>
          <w:b/>
          <w:bCs/>
          <w:color w:val="00284C"/>
          <w:sz w:val="24"/>
          <w:szCs w:val="40"/>
          <w:lang w:eastAsia="en-GB"/>
        </w:rPr>
        <w:fldChar w:fldCharType="begin"/>
      </w:r>
      <w:r w:rsidRPr="00233934">
        <w:rPr>
          <w:rFonts w:ascii="Calibri" w:eastAsia="+mn-ea" w:hAnsi="Calibri" w:cs="+mn-cs"/>
          <w:b/>
          <w:bCs/>
          <w:color w:val="00284C"/>
          <w:sz w:val="24"/>
          <w:szCs w:val="40"/>
          <w:lang w:eastAsia="en-GB"/>
        </w:rPr>
        <w:instrText xml:space="preserve"> HYPERLINK "https://www.seafarerhelp.org/assets/downloads/guidance-on-eliminating-shipboard-harassment-and-bullying.pdf" </w:instrText>
      </w:r>
      <w:r w:rsidRPr="00233934">
        <w:rPr>
          <w:rFonts w:ascii="Calibri" w:eastAsia="+mn-ea" w:hAnsi="Calibri" w:cs="+mn-cs"/>
          <w:b/>
          <w:bCs/>
          <w:color w:val="00284C"/>
          <w:sz w:val="24"/>
          <w:szCs w:val="40"/>
          <w:lang w:eastAsia="en-GB"/>
        </w:rPr>
        <w:fldChar w:fldCharType="separate"/>
      </w:r>
      <w:r w:rsidRPr="00233934">
        <w:rPr>
          <w:rStyle w:val="Hyperlink"/>
          <w:rFonts w:ascii="Calibri" w:eastAsia="+mn-ea" w:hAnsi="Calibri" w:cs="+mn-cs"/>
          <w:b/>
          <w:bCs/>
          <w:sz w:val="24"/>
          <w:szCs w:val="40"/>
          <w:lang w:eastAsia="en-GB"/>
        </w:rPr>
        <w:t xml:space="preserve">Guidance on Eliminating Shipboard Harassment and Bullying </w:t>
      </w:r>
    </w:p>
    <w:p w14:paraId="5C93A1FD" w14:textId="636105D2" w:rsidR="005523A7" w:rsidRDefault="00233934" w:rsidP="00233934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r w:rsidRPr="00233934">
        <w:rPr>
          <w:rFonts w:ascii="Calibri" w:eastAsia="+mn-ea" w:hAnsi="Calibri" w:cs="+mn-cs"/>
          <w:color w:val="00284C"/>
          <w:sz w:val="24"/>
          <w:szCs w:val="40"/>
          <w:lang w:eastAsia="en-GB"/>
        </w:rPr>
        <w:fldChar w:fldCharType="end"/>
      </w:r>
      <w:r w:rsidR="00907144" w:rsidRPr="00907144">
        <w:t xml:space="preserve"> </w:t>
      </w:r>
      <w:r w:rsidR="00907144" w:rsidRPr="00907144">
        <w:rPr>
          <w:rFonts w:ascii="Calibri" w:eastAsia="+mn-ea" w:hAnsi="Calibri" w:cs="+mn-cs"/>
          <w:color w:val="00284C"/>
          <w:sz w:val="24"/>
          <w:szCs w:val="40"/>
          <w:lang w:eastAsia="en-GB"/>
        </w:rPr>
        <w:t>Assistance for companies &amp; operators to develop policies and plans to eliminate bullying and harassment onboard ships.</w:t>
      </w:r>
    </w:p>
    <w:p w14:paraId="1C2931AB" w14:textId="73632191" w:rsidR="00907144" w:rsidRDefault="00907144" w:rsidP="00233934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</w:p>
    <w:p w14:paraId="36E60002" w14:textId="77777777" w:rsidR="007E7BA6" w:rsidRPr="007E7BA6" w:rsidRDefault="007E7BA6" w:rsidP="007E7BA6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hyperlink r:id="rId15" w:history="1">
        <w:r w:rsidRPr="007E7BA6">
          <w:rPr>
            <w:rStyle w:val="Hyperlink"/>
            <w:rFonts w:ascii="Calibri" w:eastAsia="+mn-ea" w:hAnsi="Calibri" w:cs="+mn-cs"/>
            <w:b/>
            <w:bCs/>
            <w:sz w:val="24"/>
            <w:szCs w:val="40"/>
            <w:lang w:eastAsia="en-GB"/>
          </w:rPr>
          <w:t>Best Practices Guide on Prevention of Sexual Assault and Sexual Harassment in The US Merchant Marine</w:t>
        </w:r>
        <w:r w:rsidRPr="007E7BA6">
          <w:rPr>
            <w:rStyle w:val="Hyperlink"/>
            <w:rFonts w:ascii="Calibri" w:eastAsia="+mn-ea" w:hAnsi="Calibri" w:cs="+mn-cs"/>
            <w:sz w:val="24"/>
            <w:szCs w:val="40"/>
            <w:lang w:eastAsia="en-GB"/>
          </w:rPr>
          <w:t> </w:t>
        </w:r>
      </w:hyperlink>
    </w:p>
    <w:p w14:paraId="3D0BBD93" w14:textId="4CCDD3A9" w:rsidR="00907144" w:rsidRDefault="00A35FB1" w:rsidP="00233934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r w:rsidRPr="00A35FB1">
        <w:rPr>
          <w:rFonts w:ascii="Calibri" w:eastAsia="+mn-ea" w:hAnsi="Calibri" w:cs="+mn-cs"/>
          <w:color w:val="00284C"/>
          <w:sz w:val="24"/>
          <w:szCs w:val="40"/>
          <w:lang w:eastAsia="en-GB"/>
        </w:rPr>
        <w:t>Guidance on seafarers’ responsibility to be respectful and actively participate in a work environment free of sexual assault, harassment and other prohibited behaviours.</w:t>
      </w:r>
    </w:p>
    <w:p w14:paraId="0F3DD80F" w14:textId="52966CDF" w:rsidR="00A35FB1" w:rsidRDefault="00A35FB1" w:rsidP="00233934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</w:p>
    <w:p w14:paraId="62C80223" w14:textId="77777777" w:rsidR="00F60106" w:rsidRDefault="00F60106" w:rsidP="00233934">
      <w:pPr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</w:p>
    <w:p w14:paraId="6FDB9468" w14:textId="51EA579C" w:rsidR="00A35FB1" w:rsidRDefault="00F60106" w:rsidP="00233934">
      <w:pPr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r w:rsidRPr="00F60106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lastRenderedPageBreak/>
        <w:t>Fatigue Risk Management</w:t>
      </w:r>
    </w:p>
    <w:p w14:paraId="6B2AA4FC" w14:textId="77777777" w:rsidR="00A808B1" w:rsidRPr="00A808B1" w:rsidRDefault="00A808B1" w:rsidP="00A808B1">
      <w:pPr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hyperlink r:id="rId16" w:history="1">
        <w:r w:rsidRPr="00A808B1">
          <w:rPr>
            <w:rStyle w:val="Hyperlink"/>
            <w:rFonts w:ascii="Calibri" w:eastAsia="+mn-ea" w:hAnsi="Calibri" w:cs="+mn-cs"/>
            <w:b/>
            <w:bCs/>
            <w:szCs w:val="24"/>
            <w:lang w:eastAsia="en-GB"/>
          </w:rPr>
          <w:t>Fatigue guidelines: managing and reducing the risk of fatigue at sea </w:t>
        </w:r>
      </w:hyperlink>
    </w:p>
    <w:p w14:paraId="262FE972" w14:textId="557AC674" w:rsidR="00A808B1" w:rsidRDefault="004542E8" w:rsidP="00233934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r w:rsidRPr="004542E8"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Simple information for companies &amp; operators on the causes, consequences and management of fatigue.  </w:t>
      </w:r>
      <w:r w:rsidR="00DE234E" w:rsidRPr="00DE234E">
        <w:rPr>
          <w:rFonts w:ascii="Calibri" w:eastAsia="+mn-ea" w:hAnsi="Calibri" w:cs="+mn-cs"/>
          <w:color w:val="00284C"/>
          <w:sz w:val="24"/>
          <w:szCs w:val="40"/>
          <w:lang w:eastAsia="en-GB"/>
        </w:rPr>
        <w:t>Primarily aimed at managers /operators of Australian regulated vessels but can be applied</w:t>
      </w:r>
      <w:r w:rsidR="00DE234E">
        <w:rPr>
          <w:rFonts w:ascii="Calibri" w:eastAsia="+mn-ea" w:hAnsi="Calibri" w:cs="+mn-cs"/>
          <w:color w:val="00284C"/>
          <w:sz w:val="24"/>
          <w:szCs w:val="40"/>
          <w:lang w:eastAsia="en-GB"/>
        </w:rPr>
        <w:t xml:space="preserve"> by all</w:t>
      </w:r>
      <w:r w:rsidR="00DE234E" w:rsidRPr="00DE234E">
        <w:rPr>
          <w:rFonts w:ascii="Calibri" w:eastAsia="+mn-ea" w:hAnsi="Calibri" w:cs="+mn-cs"/>
          <w:color w:val="00284C"/>
          <w:sz w:val="24"/>
          <w:szCs w:val="40"/>
          <w:lang w:eastAsia="en-GB"/>
        </w:rPr>
        <w:t>.</w:t>
      </w:r>
    </w:p>
    <w:p w14:paraId="2CA29813" w14:textId="74B0E977" w:rsidR="0090678D" w:rsidRDefault="0090678D" w:rsidP="00233934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</w:p>
    <w:p w14:paraId="7EE679B5" w14:textId="77777777" w:rsidR="00180E8E" w:rsidRPr="00180E8E" w:rsidRDefault="00180E8E" w:rsidP="00180E8E">
      <w:pPr>
        <w:rPr>
          <w:rFonts w:ascii="Calibri" w:eastAsia="+mn-ea" w:hAnsi="Calibri" w:cs="+mn-cs"/>
          <w:b/>
          <w:bCs/>
          <w:color w:val="00284C"/>
          <w:sz w:val="24"/>
          <w:szCs w:val="40"/>
          <w:lang w:eastAsia="en-GB"/>
        </w:rPr>
      </w:pPr>
      <w:hyperlink r:id="rId17" w:history="1">
        <w:r w:rsidRPr="00180E8E">
          <w:rPr>
            <w:rStyle w:val="Hyperlink"/>
            <w:rFonts w:ascii="Calibri" w:eastAsia="+mn-ea" w:hAnsi="Calibri" w:cs="+mn-cs"/>
            <w:b/>
            <w:bCs/>
            <w:sz w:val="24"/>
            <w:szCs w:val="40"/>
            <w:lang w:eastAsia="en-GB"/>
          </w:rPr>
          <w:t>MGN 505 (M) Human Element Guidance - Part 1: Fatigue and Fitness </w:t>
        </w:r>
      </w:hyperlink>
    </w:p>
    <w:p w14:paraId="41F96EE5" w14:textId="621C3238" w:rsidR="0090678D" w:rsidRDefault="008D1483" w:rsidP="00233934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r w:rsidRPr="008D1483">
        <w:rPr>
          <w:rFonts w:ascii="Calibri" w:eastAsia="+mn-ea" w:hAnsi="Calibri" w:cs="+mn-cs"/>
          <w:color w:val="00284C"/>
          <w:sz w:val="24"/>
          <w:szCs w:val="40"/>
          <w:lang w:eastAsia="en-GB"/>
        </w:rPr>
        <w:t>Information for companies &amp; operators, shore &amp; onboard management, on causes of fatigue and guidance on good practice to prevent and manage fatigue.</w:t>
      </w:r>
    </w:p>
    <w:p w14:paraId="6EBF85A1" w14:textId="447651EC" w:rsidR="00DE234E" w:rsidRDefault="00DE234E" w:rsidP="00233934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</w:p>
    <w:p w14:paraId="0A319BE3" w14:textId="3665F3B1" w:rsidR="00DE234E" w:rsidRPr="00C3089B" w:rsidRDefault="000152E9" w:rsidP="00233934">
      <w:pPr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r w:rsidRPr="00C3089B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>Traumatic Stress, Crisis &amp; Post Critical Incident</w:t>
      </w:r>
    </w:p>
    <w:p w14:paraId="76E4E9FC" w14:textId="77777777" w:rsidR="008C19E3" w:rsidRPr="008C19E3" w:rsidRDefault="008C19E3" w:rsidP="008C19E3">
      <w:pPr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hyperlink r:id="rId18" w:history="1">
        <w:r w:rsidRPr="008C19E3">
          <w:rPr>
            <w:rStyle w:val="Hyperlink"/>
            <w:rFonts w:ascii="Calibri" w:eastAsia="+mn-ea" w:hAnsi="Calibri" w:cs="+mn-cs"/>
            <w:b/>
            <w:bCs/>
            <w:szCs w:val="24"/>
            <w:lang w:eastAsia="en-GB"/>
          </w:rPr>
          <w:t>Managing Traumatic Stress: Guidance for Maritime Organisations</w:t>
        </w:r>
      </w:hyperlink>
      <w:r w:rsidRPr="008C19E3">
        <w:rPr>
          <w:rFonts w:ascii="Calibri" w:eastAsia="+mn-ea" w:hAnsi="Calibri" w:cs="+mn-cs"/>
          <w:b/>
          <w:bCs/>
          <w:color w:val="00284C"/>
          <w:szCs w:val="24"/>
          <w:lang w:eastAsia="en-GB"/>
        </w:rPr>
        <w:t xml:space="preserve"> </w:t>
      </w:r>
    </w:p>
    <w:p w14:paraId="12EBEEA6" w14:textId="72F0C47E" w:rsidR="00A808B1" w:rsidRPr="00EF2E68" w:rsidRDefault="0007599F" w:rsidP="00233934">
      <w:pPr>
        <w:rPr>
          <w:rFonts w:ascii="Calibri" w:eastAsia="+mn-ea" w:hAnsi="Calibri" w:cs="+mn-cs"/>
          <w:color w:val="00284C"/>
          <w:sz w:val="24"/>
          <w:szCs w:val="40"/>
          <w:lang w:eastAsia="en-GB"/>
        </w:rPr>
      </w:pPr>
      <w:r w:rsidRPr="00EF2E68">
        <w:rPr>
          <w:rFonts w:ascii="Calibri" w:eastAsia="+mn-ea" w:hAnsi="Calibri" w:cs="+mn-cs"/>
          <w:color w:val="00284C"/>
          <w:sz w:val="24"/>
          <w:szCs w:val="40"/>
          <w:lang w:eastAsia="en-GB"/>
        </w:rPr>
        <w:t>Information for companies &amp; operators to develop a traumatic stress management policy or guideline.</w:t>
      </w:r>
    </w:p>
    <w:p w14:paraId="2450B8D0" w14:textId="77777777" w:rsidR="002B4C41" w:rsidRPr="004F06A4" w:rsidRDefault="002B4C41" w:rsidP="004F06A4">
      <w:pPr>
        <w:ind w:left="-709" w:right="-755"/>
        <w:jc w:val="both"/>
        <w:rPr>
          <w:rFonts w:ascii="Calibri" w:eastAsia="+mn-ea" w:hAnsi="Calibri" w:cs="+mn-cs"/>
          <w:b/>
          <w:bCs/>
          <w:color w:val="00284C"/>
          <w:szCs w:val="24"/>
          <w:lang w:eastAsia="en-GB"/>
        </w:rPr>
      </w:pPr>
      <w:bookmarkStart w:id="1" w:name="_GoBack"/>
      <w:bookmarkEnd w:id="1"/>
    </w:p>
    <w:sectPr w:rsidR="002B4C41" w:rsidRPr="004F06A4" w:rsidSect="004B1C10">
      <w:headerReference w:type="default" r:id="rId19"/>
      <w:footerReference w:type="default" r:id="rId20"/>
      <w:pgSz w:w="11906" w:h="16838"/>
      <w:pgMar w:top="1418" w:right="1440" w:bottom="142" w:left="1440" w:header="0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2D47" w14:textId="77777777" w:rsidR="00223A4D" w:rsidRDefault="00223A4D" w:rsidP="00223A4D">
      <w:pPr>
        <w:spacing w:after="0" w:line="240" w:lineRule="auto"/>
      </w:pPr>
      <w:r>
        <w:separator/>
      </w:r>
    </w:p>
  </w:endnote>
  <w:endnote w:type="continuationSeparator" w:id="0">
    <w:p w14:paraId="6C7FC42C" w14:textId="77777777" w:rsidR="00223A4D" w:rsidRDefault="00223A4D" w:rsidP="0022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97FF" w14:textId="523B4497" w:rsidR="009F45A7" w:rsidRPr="009F45A7" w:rsidRDefault="009F45A7" w:rsidP="009F45A7">
    <w:pPr>
      <w:spacing w:after="0"/>
      <w:rPr>
        <w:rFonts w:cstheme="minorHAnsi"/>
        <w:sz w:val="14"/>
        <w:szCs w:val="14"/>
      </w:rPr>
    </w:pPr>
    <w:r w:rsidRPr="009F45A7">
      <w:rPr>
        <w:rFonts w:cstheme="minorHAnsi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38D5" w14:textId="77777777" w:rsidR="00223A4D" w:rsidRDefault="00223A4D" w:rsidP="00223A4D">
      <w:pPr>
        <w:spacing w:after="0" w:line="240" w:lineRule="auto"/>
      </w:pPr>
      <w:bookmarkStart w:id="0" w:name="_Hlk94775976"/>
      <w:bookmarkEnd w:id="0"/>
      <w:r>
        <w:separator/>
      </w:r>
    </w:p>
  </w:footnote>
  <w:footnote w:type="continuationSeparator" w:id="0">
    <w:p w14:paraId="5FEA62ED" w14:textId="77777777" w:rsidR="00223A4D" w:rsidRDefault="00223A4D" w:rsidP="0022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8DB7" w14:textId="77777777" w:rsidR="00ED5FE1" w:rsidRDefault="00ED5FE1" w:rsidP="00ED5FE1">
    <w:pPr>
      <w:pStyle w:val="Header"/>
    </w:pPr>
  </w:p>
  <w:p w14:paraId="7596BD0A" w14:textId="04792396" w:rsidR="001E7922" w:rsidRDefault="001A51AE" w:rsidP="00ED5FE1">
    <w:pPr>
      <w:pStyle w:val="Header"/>
      <w:ind w:left="-709"/>
      <w:rPr>
        <w:color w:val="00284C"/>
      </w:rPr>
    </w:pPr>
    <w:r>
      <w:rPr>
        <w:color w:val="00284C"/>
      </w:rPr>
      <w:t xml:space="preserve">WELLBEING: </w:t>
    </w:r>
    <w:r w:rsidR="00410A9F">
      <w:rPr>
        <w:color w:val="00284C"/>
      </w:rPr>
      <w:t>PROTECT</w:t>
    </w:r>
  </w:p>
  <w:p w14:paraId="1F109B3B" w14:textId="6082D51E" w:rsidR="00A511E5" w:rsidRDefault="001E7922" w:rsidP="00ED5FE1">
    <w:pPr>
      <w:pStyle w:val="Header"/>
      <w:ind w:left="-709"/>
    </w:pPr>
    <w:r>
      <w:rPr>
        <w:color w:val="00284C"/>
      </w:rPr>
      <w:t xml:space="preserve">                                                                                                                                 </w:t>
    </w:r>
    <w:r w:rsidRPr="00BD5508">
      <w:rPr>
        <w:noProof/>
      </w:rPr>
      <w:drawing>
        <wp:inline distT="0" distB="0" distL="0" distR="0" wp14:anchorId="0F8BE3F5" wp14:editId="04B4D5CB">
          <wp:extent cx="2078812" cy="609175"/>
          <wp:effectExtent l="0" t="0" r="0" b="635"/>
          <wp:docPr id="24" name="Picture 24">
            <a:extLst xmlns:a="http://schemas.openxmlformats.org/drawingml/2006/main">
              <a:ext uri="{FF2B5EF4-FFF2-40B4-BE49-F238E27FC236}">
                <a16:creationId xmlns:a16="http://schemas.microsoft.com/office/drawing/2014/main" id="{82CB7D55-5818-463C-B9A1-B5182EA1FC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82CB7D55-5818-463C-B9A1-B5182EA1FC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2078812" cy="60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11E5">
      <w:tab/>
    </w:r>
    <w:r>
      <w:t xml:space="preserve">                                                                                                                        </w:t>
    </w:r>
    <w:r>
      <w:rPr>
        <w:noProof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2.5pt;visibility:visible" o:bullet="t">
        <v:imagedata r:id="rId1" o:title=""/>
      </v:shape>
    </w:pict>
  </w:numPicBullet>
  <w:abstractNum w:abstractNumId="0" w15:restartNumberingAfterBreak="0">
    <w:nsid w:val="057879D8"/>
    <w:multiLevelType w:val="hybridMultilevel"/>
    <w:tmpl w:val="612AE30E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6C27B2D"/>
    <w:multiLevelType w:val="hybridMultilevel"/>
    <w:tmpl w:val="8E409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5CF"/>
    <w:multiLevelType w:val="hybridMultilevel"/>
    <w:tmpl w:val="BD5056B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1D2F"/>
    <w:multiLevelType w:val="hybridMultilevel"/>
    <w:tmpl w:val="B3D45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51B9"/>
    <w:multiLevelType w:val="hybridMultilevel"/>
    <w:tmpl w:val="EBB65F5E"/>
    <w:lvl w:ilvl="0" w:tplc="84D20B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D79BB"/>
    <w:multiLevelType w:val="hybridMultilevel"/>
    <w:tmpl w:val="917A772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2BAA"/>
    <w:multiLevelType w:val="multilevel"/>
    <w:tmpl w:val="1AD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3D4886"/>
    <w:multiLevelType w:val="hybridMultilevel"/>
    <w:tmpl w:val="6434B34A"/>
    <w:lvl w:ilvl="0" w:tplc="824C21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C4D7D"/>
    <w:multiLevelType w:val="hybridMultilevel"/>
    <w:tmpl w:val="0A9E9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6A18"/>
    <w:multiLevelType w:val="hybridMultilevel"/>
    <w:tmpl w:val="AFDC08F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317C"/>
    <w:multiLevelType w:val="hybridMultilevel"/>
    <w:tmpl w:val="C5B89634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0385B"/>
    <w:multiLevelType w:val="hybridMultilevel"/>
    <w:tmpl w:val="A0684D6A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A0784"/>
    <w:multiLevelType w:val="hybridMultilevel"/>
    <w:tmpl w:val="553071C0"/>
    <w:lvl w:ilvl="0" w:tplc="A79462E2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85412"/>
    <w:multiLevelType w:val="hybridMultilevel"/>
    <w:tmpl w:val="22184EA2"/>
    <w:lvl w:ilvl="0" w:tplc="731695E8">
      <w:start w:val="3"/>
      <w:numFmt w:val="bullet"/>
      <w:lvlText w:val="•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B0220"/>
    <w:multiLevelType w:val="hybridMultilevel"/>
    <w:tmpl w:val="6EC60BAE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07896"/>
    <w:multiLevelType w:val="hybridMultilevel"/>
    <w:tmpl w:val="C1649BB0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73206"/>
    <w:multiLevelType w:val="hybridMultilevel"/>
    <w:tmpl w:val="9DFC719C"/>
    <w:lvl w:ilvl="0" w:tplc="124AE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07BBA"/>
    <w:multiLevelType w:val="hybridMultilevel"/>
    <w:tmpl w:val="D89C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F1706"/>
    <w:multiLevelType w:val="hybridMultilevel"/>
    <w:tmpl w:val="057494C2"/>
    <w:lvl w:ilvl="0" w:tplc="9C84DFF0">
      <w:start w:val="3"/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D2E4B"/>
    <w:multiLevelType w:val="hybridMultilevel"/>
    <w:tmpl w:val="FA763C16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061BD"/>
    <w:multiLevelType w:val="hybridMultilevel"/>
    <w:tmpl w:val="AFF26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901AA"/>
    <w:multiLevelType w:val="hybridMultilevel"/>
    <w:tmpl w:val="C3E4B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C45D0">
      <w:start w:val="3"/>
      <w:numFmt w:val="bullet"/>
      <w:lvlText w:val="•"/>
      <w:lvlJc w:val="left"/>
      <w:pPr>
        <w:ind w:left="1800" w:hanging="720"/>
      </w:pPr>
      <w:rPr>
        <w:rFonts w:ascii="Calibri" w:eastAsia="+mn-e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F55A9"/>
    <w:multiLevelType w:val="hybridMultilevel"/>
    <w:tmpl w:val="849E4286"/>
    <w:lvl w:ilvl="0" w:tplc="731695E8">
      <w:start w:val="3"/>
      <w:numFmt w:val="bullet"/>
      <w:lvlText w:val="•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797874C4">
      <w:start w:val="3"/>
      <w:numFmt w:val="bullet"/>
      <w:lvlText w:val="-"/>
      <w:lvlJc w:val="left"/>
      <w:pPr>
        <w:ind w:left="1800" w:hanging="720"/>
      </w:pPr>
      <w:rPr>
        <w:rFonts w:ascii="Calibri" w:eastAsia="+mn-e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F1DCC"/>
    <w:multiLevelType w:val="hybridMultilevel"/>
    <w:tmpl w:val="BEEA8B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06600"/>
    <w:multiLevelType w:val="hybridMultilevel"/>
    <w:tmpl w:val="C4DE05D2"/>
    <w:lvl w:ilvl="0" w:tplc="F40AAD5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2335D"/>
    <w:multiLevelType w:val="hybridMultilevel"/>
    <w:tmpl w:val="7C8EF9DC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5D443C69"/>
    <w:multiLevelType w:val="hybridMultilevel"/>
    <w:tmpl w:val="B746731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B7F9C"/>
    <w:multiLevelType w:val="hybridMultilevel"/>
    <w:tmpl w:val="CDDE5646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606C5873"/>
    <w:multiLevelType w:val="hybridMultilevel"/>
    <w:tmpl w:val="13364A42"/>
    <w:lvl w:ilvl="0" w:tplc="948C45D0">
      <w:start w:val="3"/>
      <w:numFmt w:val="bullet"/>
      <w:lvlText w:val="•"/>
      <w:lvlJc w:val="left"/>
      <w:pPr>
        <w:ind w:left="180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9512F"/>
    <w:multiLevelType w:val="multilevel"/>
    <w:tmpl w:val="1AD02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7561765"/>
    <w:multiLevelType w:val="hybridMultilevel"/>
    <w:tmpl w:val="6A2487EE"/>
    <w:lvl w:ilvl="0" w:tplc="16E6EDC2">
      <w:start w:val="1"/>
      <w:numFmt w:val="bullet"/>
      <w:lvlText w:val=""/>
      <w:lvlPicBulletId w:val="0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69E54941"/>
    <w:multiLevelType w:val="hybridMultilevel"/>
    <w:tmpl w:val="EFC2A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11AFA"/>
    <w:multiLevelType w:val="hybridMultilevel"/>
    <w:tmpl w:val="1A5ECC82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91182"/>
    <w:multiLevelType w:val="hybridMultilevel"/>
    <w:tmpl w:val="8CE4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21AFE"/>
    <w:multiLevelType w:val="hybridMultilevel"/>
    <w:tmpl w:val="8D7C498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0B562B"/>
    <w:multiLevelType w:val="hybridMultilevel"/>
    <w:tmpl w:val="F5DEDD1A"/>
    <w:lvl w:ilvl="0" w:tplc="27FA1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9142A"/>
    <w:multiLevelType w:val="hybridMultilevel"/>
    <w:tmpl w:val="88F0E756"/>
    <w:lvl w:ilvl="0" w:tplc="7BAE38A6">
      <w:numFmt w:val="bullet"/>
      <w:lvlText w:val="-"/>
      <w:lvlJc w:val="left"/>
      <w:pPr>
        <w:ind w:left="1080" w:hanging="72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64B8F"/>
    <w:multiLevelType w:val="hybridMultilevel"/>
    <w:tmpl w:val="4F84F540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0747C7"/>
    <w:multiLevelType w:val="hybridMultilevel"/>
    <w:tmpl w:val="CA8CF00C"/>
    <w:lvl w:ilvl="0" w:tplc="AB2AF9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7831A2"/>
    <w:multiLevelType w:val="hybridMultilevel"/>
    <w:tmpl w:val="A7AE4BB4"/>
    <w:lvl w:ilvl="0" w:tplc="9C84DFF0">
      <w:start w:val="3"/>
      <w:numFmt w:val="bullet"/>
      <w:lvlText w:val="-"/>
      <w:lvlJc w:val="left"/>
      <w:pPr>
        <w:ind w:left="1800" w:hanging="720"/>
      </w:pPr>
      <w:rPr>
        <w:rFonts w:ascii="Calibri" w:eastAsia="+mn-e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E1E0CA3"/>
    <w:multiLevelType w:val="hybridMultilevel"/>
    <w:tmpl w:val="B1E41A22"/>
    <w:lvl w:ilvl="0" w:tplc="A8428E0A">
      <w:start w:val="10"/>
      <w:numFmt w:val="bullet"/>
      <w:lvlText w:val="-"/>
      <w:lvlJc w:val="left"/>
      <w:pPr>
        <w:ind w:left="720" w:hanging="360"/>
      </w:pPr>
      <w:rPr>
        <w:rFonts w:ascii="Calibri" w:eastAsia="+mn-e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11AEA"/>
    <w:multiLevelType w:val="hybridMultilevel"/>
    <w:tmpl w:val="F8E882E8"/>
    <w:lvl w:ilvl="0" w:tplc="D02601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6"/>
  </w:num>
  <w:num w:numId="4">
    <w:abstractNumId w:val="1"/>
  </w:num>
  <w:num w:numId="5">
    <w:abstractNumId w:val="7"/>
  </w:num>
  <w:num w:numId="6">
    <w:abstractNumId w:val="12"/>
  </w:num>
  <w:num w:numId="7">
    <w:abstractNumId w:val="24"/>
  </w:num>
  <w:num w:numId="8">
    <w:abstractNumId w:val="2"/>
  </w:num>
  <w:num w:numId="9">
    <w:abstractNumId w:val="35"/>
  </w:num>
  <w:num w:numId="10">
    <w:abstractNumId w:val="31"/>
  </w:num>
  <w:num w:numId="11">
    <w:abstractNumId w:val="16"/>
  </w:num>
  <w:num w:numId="12">
    <w:abstractNumId w:val="34"/>
  </w:num>
  <w:num w:numId="13">
    <w:abstractNumId w:val="26"/>
  </w:num>
  <w:num w:numId="14">
    <w:abstractNumId w:val="3"/>
  </w:num>
  <w:num w:numId="15">
    <w:abstractNumId w:val="37"/>
  </w:num>
  <w:num w:numId="16">
    <w:abstractNumId w:val="38"/>
  </w:num>
  <w:num w:numId="17">
    <w:abstractNumId w:val="11"/>
  </w:num>
  <w:num w:numId="18">
    <w:abstractNumId w:val="17"/>
  </w:num>
  <w:num w:numId="19">
    <w:abstractNumId w:val="6"/>
  </w:num>
  <w:num w:numId="20">
    <w:abstractNumId w:val="33"/>
  </w:num>
  <w:num w:numId="21">
    <w:abstractNumId w:val="21"/>
  </w:num>
  <w:num w:numId="22">
    <w:abstractNumId w:val="28"/>
  </w:num>
  <w:num w:numId="23">
    <w:abstractNumId w:val="22"/>
  </w:num>
  <w:num w:numId="24">
    <w:abstractNumId w:val="29"/>
  </w:num>
  <w:num w:numId="25">
    <w:abstractNumId w:val="41"/>
  </w:num>
  <w:num w:numId="26">
    <w:abstractNumId w:val="13"/>
  </w:num>
  <w:num w:numId="27">
    <w:abstractNumId w:val="5"/>
  </w:num>
  <w:num w:numId="28">
    <w:abstractNumId w:val="15"/>
  </w:num>
  <w:num w:numId="29">
    <w:abstractNumId w:val="18"/>
  </w:num>
  <w:num w:numId="30">
    <w:abstractNumId w:val="9"/>
  </w:num>
  <w:num w:numId="31">
    <w:abstractNumId w:val="32"/>
  </w:num>
  <w:num w:numId="32">
    <w:abstractNumId w:val="19"/>
  </w:num>
  <w:num w:numId="33">
    <w:abstractNumId w:val="14"/>
  </w:num>
  <w:num w:numId="34">
    <w:abstractNumId w:val="10"/>
  </w:num>
  <w:num w:numId="35">
    <w:abstractNumId w:val="39"/>
  </w:num>
  <w:num w:numId="36">
    <w:abstractNumId w:val="20"/>
  </w:num>
  <w:num w:numId="37">
    <w:abstractNumId w:val="40"/>
  </w:num>
  <w:num w:numId="38">
    <w:abstractNumId w:val="23"/>
  </w:num>
  <w:num w:numId="39">
    <w:abstractNumId w:val="27"/>
  </w:num>
  <w:num w:numId="40">
    <w:abstractNumId w:val="30"/>
  </w:num>
  <w:num w:numId="41">
    <w:abstractNumId w:val="0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4D"/>
    <w:rsid w:val="00011D69"/>
    <w:rsid w:val="000152E9"/>
    <w:rsid w:val="0007599F"/>
    <w:rsid w:val="000A0A7E"/>
    <w:rsid w:val="0011150B"/>
    <w:rsid w:val="00111BFC"/>
    <w:rsid w:val="00112C4F"/>
    <w:rsid w:val="001158A5"/>
    <w:rsid w:val="00180E8E"/>
    <w:rsid w:val="001826A2"/>
    <w:rsid w:val="001A51AE"/>
    <w:rsid w:val="001B7B84"/>
    <w:rsid w:val="001D2267"/>
    <w:rsid w:val="001E7922"/>
    <w:rsid w:val="001F6E00"/>
    <w:rsid w:val="00211C3B"/>
    <w:rsid w:val="0021765C"/>
    <w:rsid w:val="00220767"/>
    <w:rsid w:val="00223A4D"/>
    <w:rsid w:val="00233934"/>
    <w:rsid w:val="00264B94"/>
    <w:rsid w:val="002A3E7A"/>
    <w:rsid w:val="002B4C41"/>
    <w:rsid w:val="00300C8C"/>
    <w:rsid w:val="00305B66"/>
    <w:rsid w:val="003079AB"/>
    <w:rsid w:val="00347B9E"/>
    <w:rsid w:val="00351140"/>
    <w:rsid w:val="0039041C"/>
    <w:rsid w:val="00397930"/>
    <w:rsid w:val="003A4732"/>
    <w:rsid w:val="003C49AC"/>
    <w:rsid w:val="00410A9F"/>
    <w:rsid w:val="004542E8"/>
    <w:rsid w:val="004A062B"/>
    <w:rsid w:val="004B1C10"/>
    <w:rsid w:val="004E7E21"/>
    <w:rsid w:val="004F06A4"/>
    <w:rsid w:val="00532213"/>
    <w:rsid w:val="005523A7"/>
    <w:rsid w:val="005A38B8"/>
    <w:rsid w:val="005C0DDB"/>
    <w:rsid w:val="005C4ED2"/>
    <w:rsid w:val="005D21D6"/>
    <w:rsid w:val="005E1904"/>
    <w:rsid w:val="00604EAA"/>
    <w:rsid w:val="00626808"/>
    <w:rsid w:val="00663F11"/>
    <w:rsid w:val="00680361"/>
    <w:rsid w:val="006A1518"/>
    <w:rsid w:val="006B67BE"/>
    <w:rsid w:val="006D7F27"/>
    <w:rsid w:val="007170C6"/>
    <w:rsid w:val="007267F4"/>
    <w:rsid w:val="0074473A"/>
    <w:rsid w:val="007510CB"/>
    <w:rsid w:val="00783B22"/>
    <w:rsid w:val="007902DC"/>
    <w:rsid w:val="007973E3"/>
    <w:rsid w:val="007E7BA6"/>
    <w:rsid w:val="00806A9D"/>
    <w:rsid w:val="008C19E3"/>
    <w:rsid w:val="008C651B"/>
    <w:rsid w:val="008D1483"/>
    <w:rsid w:val="008F10D1"/>
    <w:rsid w:val="0090678D"/>
    <w:rsid w:val="00907144"/>
    <w:rsid w:val="009145CB"/>
    <w:rsid w:val="00946EBD"/>
    <w:rsid w:val="00954232"/>
    <w:rsid w:val="00960167"/>
    <w:rsid w:val="0097129F"/>
    <w:rsid w:val="009B4537"/>
    <w:rsid w:val="009F45A7"/>
    <w:rsid w:val="009F4642"/>
    <w:rsid w:val="00A03B55"/>
    <w:rsid w:val="00A32075"/>
    <w:rsid w:val="00A35FB1"/>
    <w:rsid w:val="00A511E5"/>
    <w:rsid w:val="00A808B1"/>
    <w:rsid w:val="00A94B2D"/>
    <w:rsid w:val="00AB75E0"/>
    <w:rsid w:val="00AE574D"/>
    <w:rsid w:val="00B36771"/>
    <w:rsid w:val="00B85F53"/>
    <w:rsid w:val="00BA4428"/>
    <w:rsid w:val="00C02AFE"/>
    <w:rsid w:val="00C3089B"/>
    <w:rsid w:val="00C50C06"/>
    <w:rsid w:val="00C800B7"/>
    <w:rsid w:val="00C91EE8"/>
    <w:rsid w:val="00C9398A"/>
    <w:rsid w:val="00CC7120"/>
    <w:rsid w:val="00CE4577"/>
    <w:rsid w:val="00CE74EE"/>
    <w:rsid w:val="00CE7B06"/>
    <w:rsid w:val="00DB764D"/>
    <w:rsid w:val="00DC1F18"/>
    <w:rsid w:val="00DE234E"/>
    <w:rsid w:val="00E271D5"/>
    <w:rsid w:val="00E75C2F"/>
    <w:rsid w:val="00EA46D9"/>
    <w:rsid w:val="00ED5FE1"/>
    <w:rsid w:val="00EF2E68"/>
    <w:rsid w:val="00F00A6A"/>
    <w:rsid w:val="00F60106"/>
    <w:rsid w:val="00F6555C"/>
    <w:rsid w:val="00FA04E5"/>
    <w:rsid w:val="00FB5B11"/>
    <w:rsid w:val="00FF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B62B9"/>
  <w15:chartTrackingRefBased/>
  <w15:docId w15:val="{8F243E09-37BA-45B8-ADD3-E479F34F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A4D"/>
  </w:style>
  <w:style w:type="paragraph" w:styleId="Footer">
    <w:name w:val="footer"/>
    <w:basedOn w:val="Normal"/>
    <w:link w:val="FooterChar"/>
    <w:uiPriority w:val="99"/>
    <w:unhideWhenUsed/>
    <w:rsid w:val="00223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A4D"/>
  </w:style>
  <w:style w:type="table" w:styleId="TableGrid">
    <w:name w:val="Table Grid"/>
    <w:basedOn w:val="TableNormal"/>
    <w:uiPriority w:val="59"/>
    <w:rsid w:val="00112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12C4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076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07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076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447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73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F0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06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5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chamberofshipping.com/latest/practical-guidance-shipping-companies-improving-mental-wellbeing/" TargetMode="External"/><Relationship Id="rId18" Type="http://schemas.openxmlformats.org/officeDocument/2006/relationships/hyperlink" Target="https://www.google.co.uk/url?sa=t&amp;rct=j&amp;q=&amp;esrc=s&amp;source=web&amp;cd=&amp;ved=2ahUKEwi_88_EiIL2AhW0QUEAHfijC_8QFnoECAUQAQ&amp;url=https%3A%2F%2Fwww.nepia.com%2Fmanaging-traumatic-stress-pdf%2F&amp;usg=AOvVaw2_gTSJKiKEpinv4xCLKc_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kchamberofshipping.com/library/guidelines-shipping-companies-mental-health-awareness/" TargetMode="External"/><Relationship Id="rId17" Type="http://schemas.openxmlformats.org/officeDocument/2006/relationships/hyperlink" Target="https://assets.publishing.service.gov.uk/government/uploads/system/uploads/attachment_data/file/976194/MGN_505_Amendment_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msa.gov.au/sites/default/files/amsa-fatigue-guidelines-web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afarerswelfare.org/assets/documents/resources/Mentally-Healthy-Ships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afarerhelp.org/assets/downloads/Best-Practices-Guide-on-Prevention-of-Sexual-Assault-and-Harassment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soshop.co.uk/Transport/Maritime-and-Coastguard-Agency-MCA/?DI=65273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E0401FE5E53468CA07755357DDF4F" ma:contentTypeVersion="13" ma:contentTypeDescription="Create a new document." ma:contentTypeScope="" ma:versionID="8a16493aced2f6457ad4e27bff81f235">
  <xsd:schema xmlns:xsd="http://www.w3.org/2001/XMLSchema" xmlns:xs="http://www.w3.org/2001/XMLSchema" xmlns:p="http://schemas.microsoft.com/office/2006/metadata/properties" xmlns:ns3="26ee44f5-b816-4a95-9107-281479422799" xmlns:ns4="0ff7bc3b-2dff-454b-bd1f-aa88b4ee0912" targetNamespace="http://schemas.microsoft.com/office/2006/metadata/properties" ma:root="true" ma:fieldsID="d8294503101f7dd6cb82a1493418013f" ns3:_="" ns4:_="">
    <xsd:import namespace="26ee44f5-b816-4a95-9107-281479422799"/>
    <xsd:import namespace="0ff7bc3b-2dff-454b-bd1f-aa88b4ee09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e44f5-b816-4a95-9107-28147942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7bc3b-2dff-454b-bd1f-aa88b4ee09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CF265-4DA1-4FFA-93E4-77123688B1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7EFFE-C4A4-4EB1-B6EE-8BC69D970AD7}">
  <ds:schemaRefs>
    <ds:schemaRef ds:uri="0ff7bc3b-2dff-454b-bd1f-aa88b4ee0912"/>
    <ds:schemaRef ds:uri="26ee44f5-b816-4a95-9107-2814794227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070D347-375B-4EDA-8E62-0928EBA34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e44f5-b816-4a95-9107-281479422799"/>
    <ds:schemaRef ds:uri="0ff7bc3b-2dff-454b-bd1f-aa88b4ee0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656C6F-F41D-495F-A3CA-F763EECC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Henrickson, Carl STASCO-STS</dc:creator>
  <cp:keywords/>
  <dc:description/>
  <cp:lastModifiedBy>Waite, Sarah J STASCO-STS/7</cp:lastModifiedBy>
  <cp:revision>2</cp:revision>
  <cp:lastPrinted>2021-02-10T13:36:00Z</cp:lastPrinted>
  <dcterms:created xsi:type="dcterms:W3CDTF">2022-03-08T16:13:00Z</dcterms:created>
  <dcterms:modified xsi:type="dcterms:W3CDTF">2022-03-08T16:13:00Z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0x010100A34E0401FE5E53468CA07755357DDF4F</vt:lpwstr>
  </property>
</Properties>
</file>